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3909" w14:textId="77777777" w:rsidR="007469C7" w:rsidRPr="007469C7" w:rsidRDefault="007469C7" w:rsidP="007469C7">
      <w:pPr>
        <w:shd w:val="clear" w:color="auto" w:fill="FFFFFF"/>
        <w:spacing w:after="300" w:line="240" w:lineRule="auto"/>
        <w:outlineLvl w:val="2"/>
        <w:rPr>
          <w:rFonts w:ascii="Barlow" w:eastAsia="Times New Roman" w:hAnsi="Barlow" w:cs="Times New Roman"/>
          <w:color w:val="333333"/>
          <w:sz w:val="42"/>
          <w:szCs w:val="42"/>
        </w:rPr>
      </w:pPr>
      <w:r w:rsidRPr="007469C7">
        <w:rPr>
          <w:rFonts w:ascii="Barlow" w:eastAsia="Times New Roman" w:hAnsi="Barlow" w:cs="Times New Roman"/>
          <w:color w:val="333333"/>
          <w:sz w:val="42"/>
          <w:szCs w:val="42"/>
        </w:rPr>
        <w:t>FIRPTA Withholding: Tax on non-resident aliens selling real property in the U.S.</w:t>
      </w:r>
    </w:p>
    <w:p w14:paraId="71DAEF00" w14:textId="77777777" w:rsidR="007469C7" w:rsidRPr="007469C7" w:rsidRDefault="007469C7" w:rsidP="007469C7">
      <w:pPr>
        <w:shd w:val="clear" w:color="auto" w:fill="FFFFFF"/>
        <w:spacing w:before="300" w:after="300" w:line="240" w:lineRule="auto"/>
        <w:rPr>
          <w:rFonts w:ascii="Pavanam" w:eastAsia="Times New Roman" w:hAnsi="Pavanam" w:cs="Times New Roman"/>
          <w:color w:val="333333"/>
          <w:sz w:val="30"/>
          <w:szCs w:val="30"/>
        </w:rPr>
      </w:pPr>
      <w:r w:rsidRPr="007469C7">
        <w:rPr>
          <w:rFonts w:ascii="Pavanam" w:eastAsia="Times New Roman" w:hAnsi="Pavanam" w:cs="Times New Roman"/>
          <w:color w:val="333333"/>
          <w:sz w:val="30"/>
          <w:szCs w:val="30"/>
        </w:rPr>
        <w:t>The Foreign Investment in Real Property Tax Act (FIRPTA) of 1980 authorizes the United States to tax foreign persons who are nonresident aliens selling U.S. real property interests. A U.S. real property interest includes sales of interests in parcels of real property.</w:t>
      </w:r>
    </w:p>
    <w:p w14:paraId="770FBFF1" w14:textId="77777777" w:rsidR="007469C7" w:rsidRPr="007469C7" w:rsidRDefault="007469C7" w:rsidP="007469C7">
      <w:pPr>
        <w:spacing w:after="0" w:line="240" w:lineRule="auto"/>
        <w:rPr>
          <w:rFonts w:ascii="Times New Roman" w:eastAsia="Times New Roman" w:hAnsi="Times New Roman" w:cs="Times New Roman"/>
          <w:sz w:val="24"/>
          <w:szCs w:val="24"/>
        </w:rPr>
      </w:pPr>
      <w:r w:rsidRPr="007469C7">
        <w:rPr>
          <w:rFonts w:ascii="Pavanam" w:eastAsia="Times New Roman" w:hAnsi="Pavanam" w:cs="Times New Roman"/>
          <w:color w:val="333333"/>
          <w:sz w:val="30"/>
          <w:szCs w:val="30"/>
          <w:shd w:val="clear" w:color="auto" w:fill="FFFFFF"/>
        </w:rPr>
        <w:t>Persons purchasing U.S. real property interests (transferee) from nonresident aliens (transferor), certain purchasers’ agents, and settlement officers are required to withhold 10% of the amount realized (the purchase/sales price of the real estate going to transferor) and remit that amount to the Internal Revenue Service within 20 days of the transaction.</w:t>
      </w:r>
    </w:p>
    <w:p w14:paraId="324384F3" w14:textId="77777777" w:rsidR="007469C7" w:rsidRPr="007469C7" w:rsidRDefault="007469C7" w:rsidP="007469C7">
      <w:pPr>
        <w:shd w:val="clear" w:color="auto" w:fill="FFFFFF"/>
        <w:spacing w:line="240" w:lineRule="auto"/>
        <w:rPr>
          <w:rFonts w:ascii="Pavanam" w:eastAsia="Times New Roman" w:hAnsi="Pavanam" w:cs="Times New Roman"/>
          <w:color w:val="FFA135"/>
          <w:sz w:val="30"/>
          <w:szCs w:val="30"/>
        </w:rPr>
      </w:pPr>
      <w:r w:rsidRPr="007469C7">
        <w:rPr>
          <w:rFonts w:ascii="Pavanam" w:eastAsia="Times New Roman" w:hAnsi="Pavanam" w:cs="Times New Roman"/>
          <w:color w:val="FFA135"/>
          <w:sz w:val="30"/>
          <w:szCs w:val="30"/>
        </w:rPr>
        <w:t>The rules of FIRTPA changed February 16, 2016 when the withholding rate on properties over $1 million increased to 15%. Read our coverage of the </w:t>
      </w:r>
      <w:hyperlink r:id="rId5" w:history="1">
        <w:r w:rsidRPr="007469C7">
          <w:rPr>
            <w:rFonts w:ascii="Pavanam" w:eastAsia="Times New Roman" w:hAnsi="Pavanam" w:cs="Times New Roman"/>
            <w:color w:val="0000FF"/>
            <w:sz w:val="30"/>
            <w:szCs w:val="30"/>
            <w:u w:val="single"/>
          </w:rPr>
          <w:t>increase of FIRPTA withholding</w:t>
        </w:r>
      </w:hyperlink>
      <w:r w:rsidRPr="007469C7">
        <w:rPr>
          <w:rFonts w:ascii="Pavanam" w:eastAsia="Times New Roman" w:hAnsi="Pavanam" w:cs="Times New Roman"/>
          <w:color w:val="FFA135"/>
          <w:sz w:val="30"/>
          <w:szCs w:val="30"/>
        </w:rPr>
        <w:t> to learn more.</w:t>
      </w:r>
    </w:p>
    <w:p w14:paraId="6350369E" w14:textId="77777777" w:rsidR="007469C7" w:rsidRPr="007469C7" w:rsidRDefault="007469C7" w:rsidP="007469C7">
      <w:pPr>
        <w:shd w:val="clear" w:color="auto" w:fill="FFFFFF"/>
        <w:spacing w:before="300" w:after="300" w:line="240" w:lineRule="auto"/>
        <w:rPr>
          <w:rFonts w:ascii="Pavanam" w:eastAsia="Times New Roman" w:hAnsi="Pavanam" w:cs="Times New Roman"/>
          <w:color w:val="333333"/>
          <w:sz w:val="30"/>
          <w:szCs w:val="30"/>
        </w:rPr>
      </w:pPr>
      <w:r w:rsidRPr="007469C7">
        <w:rPr>
          <w:rFonts w:ascii="Pavanam" w:eastAsia="Times New Roman" w:hAnsi="Pavanam" w:cs="Times New Roman"/>
          <w:color w:val="333333"/>
          <w:sz w:val="30"/>
          <w:szCs w:val="30"/>
        </w:rPr>
        <w:t>Withholding is intended to ensure U.S. taxation of gains realized on disposition of real property interests. The transferee/buyer is the withholding agent. If you are the transferee/buyer, you must find out if the transferor/seller is a foreign person/nonresident alien. If the transferor is a foreign person/nonresident alien and you fail to withhold, you may be held liable for the tax.</w:t>
      </w:r>
    </w:p>
    <w:p w14:paraId="43895911" w14:textId="77777777" w:rsidR="007469C7" w:rsidRPr="007469C7" w:rsidRDefault="007469C7" w:rsidP="007469C7">
      <w:pPr>
        <w:shd w:val="clear" w:color="auto" w:fill="FFFFFF"/>
        <w:spacing w:before="600" w:after="0" w:line="240" w:lineRule="auto"/>
        <w:outlineLvl w:val="2"/>
        <w:rPr>
          <w:rFonts w:ascii="Barlow" w:eastAsia="Times New Roman" w:hAnsi="Barlow" w:cs="Times New Roman"/>
          <w:color w:val="333333"/>
          <w:sz w:val="42"/>
          <w:szCs w:val="42"/>
        </w:rPr>
      </w:pPr>
      <w:r w:rsidRPr="007469C7">
        <w:rPr>
          <w:rFonts w:ascii="Barlow" w:eastAsia="Times New Roman" w:hAnsi="Barlow" w:cs="Times New Roman"/>
          <w:color w:val="333333"/>
          <w:sz w:val="42"/>
          <w:szCs w:val="42"/>
        </w:rPr>
        <w:t>Exemptions</w:t>
      </w:r>
    </w:p>
    <w:p w14:paraId="072AAC8F" w14:textId="77777777" w:rsidR="007469C7" w:rsidRPr="007469C7" w:rsidRDefault="007469C7" w:rsidP="007469C7">
      <w:pPr>
        <w:numPr>
          <w:ilvl w:val="0"/>
          <w:numId w:val="1"/>
        </w:numPr>
        <w:shd w:val="clear" w:color="auto" w:fill="FFFFFF"/>
        <w:spacing w:before="100" w:beforeAutospacing="1" w:after="100" w:afterAutospacing="1" w:line="240" w:lineRule="auto"/>
        <w:ind w:left="420"/>
        <w:rPr>
          <w:rFonts w:ascii="Pavanam" w:eastAsia="Times New Roman" w:hAnsi="Pavanam" w:cs="Times New Roman"/>
          <w:b/>
          <w:bCs/>
          <w:color w:val="333333"/>
          <w:sz w:val="30"/>
          <w:szCs w:val="30"/>
        </w:rPr>
      </w:pPr>
      <w:r w:rsidRPr="007469C7">
        <w:rPr>
          <w:rFonts w:ascii="Pavanam" w:eastAsia="Times New Roman" w:hAnsi="Pavanam" w:cs="Times New Roman"/>
          <w:b/>
          <w:bCs/>
          <w:color w:val="333333"/>
          <w:sz w:val="30"/>
          <w:szCs w:val="30"/>
        </w:rPr>
        <w:t>Home Use/$300K Exemption</w:t>
      </w:r>
    </w:p>
    <w:p w14:paraId="0B2A9317" w14:textId="77777777" w:rsidR="007469C7" w:rsidRPr="007469C7" w:rsidRDefault="007469C7" w:rsidP="007469C7">
      <w:pPr>
        <w:shd w:val="clear" w:color="auto" w:fill="FFFFFF"/>
        <w:spacing w:after="0" w:line="240" w:lineRule="auto"/>
        <w:ind w:left="420"/>
        <w:rPr>
          <w:rFonts w:ascii="Pavanam" w:eastAsia="Times New Roman" w:hAnsi="Pavanam" w:cs="Times New Roman"/>
          <w:color w:val="333333"/>
          <w:sz w:val="30"/>
          <w:szCs w:val="30"/>
        </w:rPr>
      </w:pPr>
      <w:r w:rsidRPr="007469C7">
        <w:rPr>
          <w:rFonts w:ascii="Pavanam" w:eastAsia="Times New Roman" w:hAnsi="Pavanam" w:cs="Times New Roman"/>
          <w:color w:val="333333"/>
          <w:sz w:val="30"/>
          <w:szCs w:val="30"/>
        </w:rPr>
        <w:t xml:space="preserve">One of the most common exemptions to FIRPTA withholding is that the transferee is not required to withhold tax in a situation in which the transferee purchases real estate for use as his/her home and the purchase price is not more than $300,000. In this case, the transferee or a member of his family must have definite plans to reside at the property for at least 50% of the number of days the property is used </w:t>
      </w:r>
      <w:r w:rsidRPr="007469C7">
        <w:rPr>
          <w:rFonts w:ascii="Pavanam" w:eastAsia="Times New Roman" w:hAnsi="Pavanam" w:cs="Times New Roman"/>
          <w:color w:val="333333"/>
          <w:sz w:val="30"/>
          <w:szCs w:val="30"/>
        </w:rPr>
        <w:lastRenderedPageBreak/>
        <w:t>by any person during each of the first two 12-month periods following the date of transfer.</w:t>
      </w:r>
    </w:p>
    <w:p w14:paraId="7B59821D" w14:textId="77777777" w:rsidR="007469C7" w:rsidRPr="007469C7" w:rsidRDefault="007469C7" w:rsidP="007469C7">
      <w:pPr>
        <w:numPr>
          <w:ilvl w:val="0"/>
          <w:numId w:val="1"/>
        </w:numPr>
        <w:shd w:val="clear" w:color="auto" w:fill="FFFFFF"/>
        <w:spacing w:before="300" w:after="100" w:afterAutospacing="1" w:line="240" w:lineRule="auto"/>
        <w:ind w:left="420"/>
        <w:rPr>
          <w:rFonts w:ascii="Pavanam" w:eastAsia="Times New Roman" w:hAnsi="Pavanam" w:cs="Times New Roman"/>
          <w:b/>
          <w:bCs/>
          <w:color w:val="333333"/>
          <w:sz w:val="30"/>
          <w:szCs w:val="30"/>
        </w:rPr>
      </w:pPr>
      <w:r w:rsidRPr="007469C7">
        <w:rPr>
          <w:rFonts w:ascii="Pavanam" w:eastAsia="Times New Roman" w:hAnsi="Pavanam" w:cs="Times New Roman"/>
          <w:b/>
          <w:bCs/>
          <w:color w:val="333333"/>
          <w:sz w:val="30"/>
          <w:szCs w:val="30"/>
        </w:rPr>
        <w:t>Withholding Certificate</w:t>
      </w:r>
    </w:p>
    <w:p w14:paraId="33E18B8C" w14:textId="77777777" w:rsidR="007469C7" w:rsidRPr="007469C7" w:rsidRDefault="007469C7" w:rsidP="007469C7">
      <w:pPr>
        <w:shd w:val="clear" w:color="auto" w:fill="FFFFFF"/>
        <w:spacing w:after="300" w:line="240" w:lineRule="auto"/>
        <w:ind w:left="420"/>
        <w:rPr>
          <w:rFonts w:ascii="Pavanam" w:eastAsia="Times New Roman" w:hAnsi="Pavanam" w:cs="Times New Roman"/>
          <w:color w:val="333333"/>
          <w:sz w:val="30"/>
          <w:szCs w:val="30"/>
        </w:rPr>
      </w:pPr>
      <w:r w:rsidRPr="007469C7">
        <w:rPr>
          <w:rFonts w:ascii="Pavanam" w:eastAsia="Times New Roman" w:hAnsi="Pavanam" w:cs="Times New Roman"/>
          <w:color w:val="333333"/>
          <w:sz w:val="30"/>
          <w:szCs w:val="30"/>
        </w:rPr>
        <w:t>Another exception from FIRPTA withholding occurs when the IRS issues a withholding certificate. The transferee, the transferee’s agent, or the transferor may request a withholding certificate and the IRS will generally act on these requests within 90 days after receipt of a complete application (Form 8288-B), including the Taxpayer Identification Numbers (TINs) of all parties to the transaction.</w:t>
      </w:r>
    </w:p>
    <w:p w14:paraId="6EB33AD2" w14:textId="77777777" w:rsidR="007469C7" w:rsidRPr="007469C7" w:rsidRDefault="007469C7" w:rsidP="007469C7">
      <w:pPr>
        <w:shd w:val="clear" w:color="auto" w:fill="FFFFFF"/>
        <w:spacing w:before="300" w:after="300" w:line="240" w:lineRule="auto"/>
        <w:ind w:left="420"/>
        <w:rPr>
          <w:rFonts w:ascii="Pavanam" w:eastAsia="Times New Roman" w:hAnsi="Pavanam" w:cs="Times New Roman"/>
          <w:color w:val="333333"/>
          <w:sz w:val="30"/>
          <w:szCs w:val="30"/>
        </w:rPr>
      </w:pPr>
      <w:r w:rsidRPr="007469C7">
        <w:rPr>
          <w:rFonts w:ascii="Pavanam" w:eastAsia="Times New Roman" w:hAnsi="Pavanam" w:cs="Times New Roman"/>
          <w:color w:val="333333"/>
          <w:sz w:val="30"/>
          <w:szCs w:val="30"/>
        </w:rPr>
        <w:t>Form 8288-B requires a description of the real property interest being sold, the sales price, a calculation of the maximum tax owed, and evidence that the seller has no unsatisfied FIRPTA withholding obligations with respect to the purchase of the real property interest.</w:t>
      </w:r>
    </w:p>
    <w:p w14:paraId="6CE476A2" w14:textId="77777777" w:rsidR="007469C7" w:rsidRPr="007469C7" w:rsidRDefault="007469C7" w:rsidP="007469C7">
      <w:pPr>
        <w:shd w:val="clear" w:color="auto" w:fill="FFFFFF"/>
        <w:spacing w:before="300" w:after="300" w:line="240" w:lineRule="auto"/>
        <w:ind w:left="420"/>
        <w:rPr>
          <w:rFonts w:ascii="Pavanam" w:eastAsia="Times New Roman" w:hAnsi="Pavanam" w:cs="Times New Roman"/>
          <w:color w:val="333333"/>
          <w:sz w:val="30"/>
          <w:szCs w:val="30"/>
        </w:rPr>
      </w:pPr>
      <w:r w:rsidRPr="007469C7">
        <w:rPr>
          <w:rFonts w:ascii="Pavanam" w:eastAsia="Times New Roman" w:hAnsi="Pavanam" w:cs="Times New Roman"/>
          <w:color w:val="333333"/>
          <w:sz w:val="30"/>
          <w:szCs w:val="30"/>
        </w:rPr>
        <w:t>A transferor that applies for a withholding certificate must notify the transferee in writing that the certificate has been applied for on the day of or the day prior to the transfer. If the withholding certificate is obtained, the nonresident alien must file a U.S. tax return for the year of sale and pay the appropriate amount of tax due at that time.</w:t>
      </w:r>
    </w:p>
    <w:p w14:paraId="67A329EE" w14:textId="1BAA352E" w:rsidR="001655AD" w:rsidRDefault="00D35C70">
      <w:r>
        <w:t xml:space="preserve">FIRPTA </w:t>
      </w:r>
      <w:r w:rsidR="001655AD">
        <w:t xml:space="preserve">Additional Information: </w:t>
      </w:r>
    </w:p>
    <w:p w14:paraId="6BC6E4B9" w14:textId="233511E6" w:rsidR="00D35C70" w:rsidRDefault="00CC080A">
      <w:hyperlink r:id="rId6" w:history="1">
        <w:r w:rsidR="00D35C70" w:rsidRPr="00790D1D">
          <w:rPr>
            <w:rStyle w:val="Hyperlink"/>
          </w:rPr>
          <w:t>https://www.irs.gov/individuals/international-taxpayers/firpta-withholding</w:t>
        </w:r>
      </w:hyperlink>
    </w:p>
    <w:p w14:paraId="2AEC4520" w14:textId="39E01A21" w:rsidR="00A57D22" w:rsidRDefault="00CC080A">
      <w:hyperlink r:id="rId7" w:history="1">
        <w:r w:rsidR="001655AD" w:rsidRPr="00790D1D">
          <w:rPr>
            <w:rStyle w:val="Hyperlink"/>
          </w:rPr>
          <w:t>https://www.irs.gov/individuals/international-taxpayers/exceptions-from-firpta-withholding</w:t>
        </w:r>
      </w:hyperlink>
    </w:p>
    <w:p w14:paraId="56558BBB" w14:textId="77777777" w:rsidR="00D35C70" w:rsidRDefault="00D35C70"/>
    <w:sectPr w:rsidR="00D3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rlow">
    <w:altName w:val="Cambria"/>
    <w:panose1 w:val="020B0604020202020204"/>
    <w:charset w:val="00"/>
    <w:family w:val="roman"/>
    <w:notTrueType/>
    <w:pitch w:val="default"/>
  </w:font>
  <w:font w:name="Pavanam">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1613A"/>
    <w:multiLevelType w:val="multilevel"/>
    <w:tmpl w:val="945A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22"/>
    <w:rsid w:val="001655AD"/>
    <w:rsid w:val="007469C7"/>
    <w:rsid w:val="00A57D22"/>
    <w:rsid w:val="00CC080A"/>
    <w:rsid w:val="00CD649A"/>
    <w:rsid w:val="00D3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3C23"/>
  <w15:chartTrackingRefBased/>
  <w15:docId w15:val="{16F6A417-C942-4F12-B1A7-F1F89445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7D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D22"/>
    <w:rPr>
      <w:rFonts w:ascii="Times New Roman" w:eastAsia="Times New Roman" w:hAnsi="Times New Roman" w:cs="Times New Roman"/>
      <w:b/>
      <w:bCs/>
      <w:sz w:val="27"/>
      <w:szCs w:val="27"/>
    </w:rPr>
  </w:style>
  <w:style w:type="character" w:styleId="Strong">
    <w:name w:val="Strong"/>
    <w:basedOn w:val="DefaultParagraphFont"/>
    <w:uiPriority w:val="22"/>
    <w:qFormat/>
    <w:rsid w:val="00A57D22"/>
    <w:rPr>
      <w:b/>
      <w:bCs/>
    </w:rPr>
  </w:style>
  <w:style w:type="character" w:styleId="Hyperlink">
    <w:name w:val="Hyperlink"/>
    <w:basedOn w:val="DefaultParagraphFont"/>
    <w:uiPriority w:val="99"/>
    <w:unhideWhenUsed/>
    <w:rsid w:val="00A57D22"/>
    <w:rPr>
      <w:color w:val="0000FF"/>
      <w:u w:val="single"/>
    </w:rPr>
  </w:style>
  <w:style w:type="character" w:styleId="UnresolvedMention">
    <w:name w:val="Unresolved Mention"/>
    <w:basedOn w:val="DefaultParagraphFont"/>
    <w:uiPriority w:val="99"/>
    <w:semiHidden/>
    <w:unhideWhenUsed/>
    <w:rsid w:val="0016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42415">
      <w:bodyDiv w:val="1"/>
      <w:marLeft w:val="0"/>
      <w:marRight w:val="0"/>
      <w:marTop w:val="0"/>
      <w:marBottom w:val="0"/>
      <w:divBdr>
        <w:top w:val="none" w:sz="0" w:space="0" w:color="auto"/>
        <w:left w:val="none" w:sz="0" w:space="0" w:color="auto"/>
        <w:bottom w:val="none" w:sz="0" w:space="0" w:color="auto"/>
        <w:right w:val="none" w:sz="0" w:space="0" w:color="auto"/>
      </w:divBdr>
    </w:div>
    <w:div w:id="1629896648">
      <w:bodyDiv w:val="1"/>
      <w:marLeft w:val="0"/>
      <w:marRight w:val="0"/>
      <w:marTop w:val="0"/>
      <w:marBottom w:val="0"/>
      <w:divBdr>
        <w:top w:val="none" w:sz="0" w:space="0" w:color="auto"/>
        <w:left w:val="none" w:sz="0" w:space="0" w:color="auto"/>
        <w:bottom w:val="none" w:sz="0" w:space="0" w:color="auto"/>
        <w:right w:val="none" w:sz="0" w:space="0" w:color="auto"/>
      </w:divBdr>
      <w:divsChild>
        <w:div w:id="365645288">
          <w:marLeft w:val="0"/>
          <w:marRight w:val="0"/>
          <w:marTop w:val="300"/>
          <w:marBottom w:val="300"/>
          <w:divBdr>
            <w:top w:val="none" w:sz="0" w:space="0" w:color="auto"/>
            <w:left w:val="none" w:sz="0" w:space="0" w:color="auto"/>
            <w:bottom w:val="none" w:sz="0" w:space="0" w:color="auto"/>
            <w:right w:val="single" w:sz="12" w:space="18" w:color="FFAD4F"/>
          </w:divBdr>
        </w:div>
      </w:divsChild>
    </w:div>
    <w:div w:id="1667586522">
      <w:bodyDiv w:val="1"/>
      <w:marLeft w:val="0"/>
      <w:marRight w:val="0"/>
      <w:marTop w:val="0"/>
      <w:marBottom w:val="0"/>
      <w:divBdr>
        <w:top w:val="none" w:sz="0" w:space="0" w:color="auto"/>
        <w:left w:val="none" w:sz="0" w:space="0" w:color="auto"/>
        <w:bottom w:val="none" w:sz="0" w:space="0" w:color="auto"/>
        <w:right w:val="none" w:sz="0" w:space="0" w:color="auto"/>
      </w:divBdr>
      <w:divsChild>
        <w:div w:id="36515910">
          <w:marLeft w:val="0"/>
          <w:marRight w:val="0"/>
          <w:marTop w:val="0"/>
          <w:marBottom w:val="0"/>
          <w:divBdr>
            <w:top w:val="none" w:sz="0" w:space="0" w:color="auto"/>
            <w:left w:val="none" w:sz="0" w:space="0" w:color="auto"/>
            <w:bottom w:val="none" w:sz="0" w:space="0" w:color="auto"/>
            <w:right w:val="none" w:sz="0" w:space="0" w:color="auto"/>
          </w:divBdr>
        </w:div>
        <w:div w:id="1986815867">
          <w:marLeft w:val="-300"/>
          <w:marRight w:val="0"/>
          <w:marTop w:val="0"/>
          <w:marBottom w:val="0"/>
          <w:divBdr>
            <w:top w:val="none" w:sz="0" w:space="0" w:color="auto"/>
            <w:left w:val="none" w:sz="0" w:space="0" w:color="auto"/>
            <w:bottom w:val="none" w:sz="0" w:space="0" w:color="auto"/>
            <w:right w:val="none" w:sz="0" w:space="0" w:color="auto"/>
          </w:divBdr>
          <w:divsChild>
            <w:div w:id="2067335718">
              <w:marLeft w:val="0"/>
              <w:marRight w:val="0"/>
              <w:marTop w:val="0"/>
              <w:marBottom w:val="0"/>
              <w:divBdr>
                <w:top w:val="none" w:sz="0" w:space="0" w:color="auto"/>
                <w:left w:val="none" w:sz="0" w:space="0" w:color="auto"/>
                <w:bottom w:val="none" w:sz="0" w:space="0" w:color="auto"/>
                <w:right w:val="none" w:sz="0" w:space="0" w:color="auto"/>
              </w:divBdr>
              <w:divsChild>
                <w:div w:id="1997341676">
                  <w:marLeft w:val="0"/>
                  <w:marRight w:val="0"/>
                  <w:marTop w:val="0"/>
                  <w:marBottom w:val="0"/>
                  <w:divBdr>
                    <w:top w:val="none" w:sz="0" w:space="0" w:color="auto"/>
                    <w:left w:val="none" w:sz="0" w:space="0" w:color="auto"/>
                    <w:bottom w:val="none" w:sz="0" w:space="0" w:color="auto"/>
                    <w:right w:val="none" w:sz="0" w:space="0" w:color="auto"/>
                  </w:divBdr>
                </w:div>
              </w:divsChild>
            </w:div>
            <w:div w:id="849879456">
              <w:marLeft w:val="0"/>
              <w:marRight w:val="0"/>
              <w:marTop w:val="0"/>
              <w:marBottom w:val="0"/>
              <w:divBdr>
                <w:top w:val="none" w:sz="0" w:space="0" w:color="auto"/>
                <w:left w:val="none" w:sz="0" w:space="0" w:color="auto"/>
                <w:bottom w:val="none" w:sz="0" w:space="0" w:color="auto"/>
                <w:right w:val="none" w:sz="0" w:space="0" w:color="auto"/>
              </w:divBdr>
              <w:divsChild>
                <w:div w:id="1763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6026">
          <w:marLeft w:val="-300"/>
          <w:marRight w:val="0"/>
          <w:marTop w:val="0"/>
          <w:marBottom w:val="0"/>
          <w:divBdr>
            <w:top w:val="none" w:sz="0" w:space="0" w:color="auto"/>
            <w:left w:val="none" w:sz="0" w:space="0" w:color="auto"/>
            <w:bottom w:val="none" w:sz="0" w:space="0" w:color="auto"/>
            <w:right w:val="none" w:sz="0" w:space="0" w:color="auto"/>
          </w:divBdr>
          <w:divsChild>
            <w:div w:id="1856529183">
              <w:marLeft w:val="0"/>
              <w:marRight w:val="0"/>
              <w:marTop w:val="0"/>
              <w:marBottom w:val="0"/>
              <w:divBdr>
                <w:top w:val="none" w:sz="0" w:space="0" w:color="auto"/>
                <w:left w:val="none" w:sz="0" w:space="0" w:color="auto"/>
                <w:bottom w:val="none" w:sz="0" w:space="0" w:color="auto"/>
                <w:right w:val="none" w:sz="0" w:space="0" w:color="auto"/>
              </w:divBdr>
              <w:divsChild>
                <w:div w:id="1936817407">
                  <w:marLeft w:val="0"/>
                  <w:marRight w:val="0"/>
                  <w:marTop w:val="0"/>
                  <w:marBottom w:val="0"/>
                  <w:divBdr>
                    <w:top w:val="none" w:sz="0" w:space="0" w:color="auto"/>
                    <w:left w:val="none" w:sz="0" w:space="0" w:color="auto"/>
                    <w:bottom w:val="none" w:sz="0" w:space="0" w:color="auto"/>
                    <w:right w:val="none" w:sz="0" w:space="0" w:color="auto"/>
                  </w:divBdr>
                </w:div>
              </w:divsChild>
            </w:div>
            <w:div w:id="31467015">
              <w:marLeft w:val="0"/>
              <w:marRight w:val="0"/>
              <w:marTop w:val="0"/>
              <w:marBottom w:val="0"/>
              <w:divBdr>
                <w:top w:val="none" w:sz="0" w:space="0" w:color="auto"/>
                <w:left w:val="none" w:sz="0" w:space="0" w:color="auto"/>
                <w:bottom w:val="none" w:sz="0" w:space="0" w:color="auto"/>
                <w:right w:val="none" w:sz="0" w:space="0" w:color="auto"/>
              </w:divBdr>
              <w:divsChild>
                <w:div w:id="10715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individuals/international-taxpayers/exceptions-from-firpta-withho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individuals/international-taxpayers/firpta-withholding" TargetMode="External"/><Relationship Id="rId5" Type="http://schemas.openxmlformats.org/officeDocument/2006/relationships/hyperlink" Target="https://www.federaltitle.com/firpta-withholding-rate-to-increase-to-15-for-sales-exceeding-1-mill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Ramond</dc:creator>
  <cp:keywords/>
  <dc:description/>
  <cp:lastModifiedBy>Mackenzie Wells</cp:lastModifiedBy>
  <cp:revision>2</cp:revision>
  <dcterms:created xsi:type="dcterms:W3CDTF">2021-04-15T18:12:00Z</dcterms:created>
  <dcterms:modified xsi:type="dcterms:W3CDTF">2021-04-15T18:12:00Z</dcterms:modified>
</cp:coreProperties>
</file>